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both"/>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附件一</w:t>
      </w:r>
    </w:p>
    <w:p>
      <w:pPr>
        <w:autoSpaceDE w:val="0"/>
        <w:autoSpaceDN w:val="0"/>
        <w:adjustRightInd w:val="0"/>
        <w:spacing w:line="360" w:lineRule="auto"/>
        <w:jc w:val="center"/>
        <w:rPr>
          <w:rFonts w:hint="eastAsia" w:ascii="仿宋" w:hAnsi="仿宋" w:eastAsia="仿宋" w:cs="仿宋"/>
          <w:b/>
          <w:sz w:val="32"/>
          <w:szCs w:val="32"/>
        </w:rPr>
      </w:pPr>
      <w:r>
        <w:rPr>
          <w:rFonts w:hint="eastAsia" w:ascii="黑体" w:hAnsi="黑体" w:eastAsia="黑体" w:cs="黑体"/>
          <w:b/>
          <w:sz w:val="44"/>
          <w:szCs w:val="44"/>
          <w:lang w:val="zh-CN"/>
        </w:rPr>
        <w:t>询价须知</w:t>
      </w:r>
    </w:p>
    <w:p>
      <w:pPr>
        <w:autoSpaceDE w:val="0"/>
        <w:autoSpaceDN w:val="0"/>
        <w:adjustRightInd w:val="0"/>
        <w:spacing w:line="360" w:lineRule="auto"/>
        <w:ind w:firstLine="42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一</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总则</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、适用范围</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本询价采购档适用于询价中所述货物及相关服务的询价采购。</w:t>
      </w:r>
    </w:p>
    <w:p>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、定义</w:t>
      </w:r>
    </w:p>
    <w:p>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采购人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是指</w:t>
      </w:r>
      <w:r>
        <w:rPr>
          <w:rFonts w:hint="eastAsia" w:ascii="仿宋_GB2312" w:hAnsi="仿宋_GB2312" w:eastAsia="仿宋_GB2312" w:cs="仿宋_GB2312"/>
          <w:sz w:val="32"/>
          <w:szCs w:val="32"/>
        </w:rPr>
        <w:t>台州市畅行智慧交通科技有限公司</w:t>
      </w:r>
      <w:r>
        <w:rPr>
          <w:rFonts w:hint="eastAsia" w:ascii="仿宋_GB2312" w:hAnsi="仿宋_GB2312" w:eastAsia="仿宋_GB2312" w:cs="仿宋_GB2312"/>
          <w:bCs/>
          <w:sz w:val="32"/>
          <w:szCs w:val="32"/>
        </w:rPr>
        <w:t>。</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指按照本档规定获得询价采购档并参加询价的供应商。</w:t>
      </w:r>
    </w:p>
    <w:p>
      <w:pPr>
        <w:adjustRightInd w:val="0"/>
        <w:snapToGrid w:val="0"/>
        <w:spacing w:line="360" w:lineRule="auto"/>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）合格的供应商</w:t>
      </w:r>
    </w:p>
    <w:p>
      <w:pPr>
        <w:autoSpaceDE w:val="0"/>
        <w:autoSpaceDN w:val="0"/>
        <w:adjustRightInd w:val="0"/>
        <w:spacing w:line="360" w:lineRule="auto"/>
        <w:ind w:firstLine="716" w:firstLineChars="2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1、符合本采购文件要求的单位均为合格的供应商；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2、供应商应遵守国家的有关法律、法规。</w:t>
      </w:r>
    </w:p>
    <w:p>
      <w:pPr>
        <w:autoSpaceDE w:val="0"/>
        <w:autoSpaceDN w:val="0"/>
        <w:adjustRightInd w:val="0"/>
        <w:spacing w:line="360" w:lineRule="auto"/>
        <w:ind w:firstLine="723" w:firstLineChars="22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报价档编制及要求</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lang w:val="zh-CN"/>
        </w:rPr>
        <w:t>见</w:t>
      </w:r>
      <w:r>
        <w:rPr>
          <w:rFonts w:hint="eastAsia" w:ascii="仿宋_GB2312" w:hAnsi="仿宋_GB2312" w:eastAsia="仿宋_GB2312" w:cs="仿宋_GB2312"/>
          <w:sz w:val="32"/>
          <w:szCs w:val="32"/>
          <w:lang w:val="en-US" w:eastAsia="zh-CN"/>
        </w:rPr>
        <w:t>附件四</w:t>
      </w:r>
      <w:r>
        <w:rPr>
          <w:rFonts w:hint="eastAsia" w:ascii="仿宋_GB2312" w:hAnsi="仿宋_GB2312" w:eastAsia="仿宋_GB2312" w:cs="仿宋_GB2312"/>
          <w:sz w:val="32"/>
          <w:szCs w:val="32"/>
          <w:lang w:val="zh-CN"/>
        </w:rPr>
        <w:t>）</w:t>
      </w:r>
    </w:p>
    <w:p>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、供应商应当按照询价采购档的要求编制报价档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报价档应当对询价采购档提出的要求和条件作出实质性应答。</w:t>
      </w:r>
    </w:p>
    <w:p>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、报价文件应用</w:t>
      </w:r>
      <w:r>
        <w:rPr>
          <w:rFonts w:hint="eastAsia" w:ascii="仿宋_GB2312" w:hAnsi="仿宋_GB2312" w:eastAsia="仿宋_GB2312" w:cs="仿宋_GB2312"/>
          <w:sz w:val="32"/>
          <w:szCs w:val="32"/>
        </w:rPr>
        <w:t>A4</w:t>
      </w:r>
      <w:r>
        <w:rPr>
          <w:rFonts w:hint="eastAsia" w:ascii="仿宋_GB2312" w:hAnsi="仿宋_GB2312" w:eastAsia="仿宋_GB2312" w:cs="仿宋_GB2312"/>
          <w:sz w:val="32"/>
          <w:szCs w:val="32"/>
          <w:lang w:val="zh-CN"/>
        </w:rPr>
        <w:t>规格纸编制并装订成册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主要由以下几个部分组成</w:t>
      </w:r>
      <w:r>
        <w:rPr>
          <w:rFonts w:hint="eastAsia" w:ascii="仿宋_GB2312" w:hAnsi="仿宋_GB2312" w:eastAsia="仿宋_GB2312" w:cs="仿宋_GB2312"/>
          <w:sz w:val="32"/>
          <w:szCs w:val="32"/>
        </w:rPr>
        <w:t>：</w:t>
      </w:r>
    </w:p>
    <w:p>
      <w:pPr>
        <w:autoSpaceDE w:val="0"/>
        <w:autoSpaceDN w:val="0"/>
        <w:adjustRightInd w:val="0"/>
        <w:spacing w:line="360" w:lineRule="auto"/>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询价报价单</w:t>
      </w:r>
    </w:p>
    <w:p>
      <w:pPr>
        <w:autoSpaceDE w:val="0"/>
        <w:autoSpaceDN w:val="0"/>
        <w:adjustRightInd w:val="0"/>
        <w:spacing w:line="360" w:lineRule="auto"/>
        <w:ind w:firstLine="720" w:firstLineChars="225"/>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zh-CN"/>
        </w:rPr>
        <w:t>）附件：主要包括营业执照（加盖公章的复印件）及供应商认为有必要提供的资质档、</w:t>
      </w:r>
      <w:r>
        <w:rPr>
          <w:rFonts w:hint="eastAsia" w:ascii="仿宋_GB2312" w:hAnsi="仿宋_GB2312" w:eastAsia="仿宋_GB2312" w:cs="仿宋_GB2312"/>
          <w:sz w:val="32"/>
          <w:szCs w:val="32"/>
        </w:rPr>
        <w:t>同类业绩情况</w:t>
      </w:r>
      <w:r>
        <w:rPr>
          <w:rFonts w:hint="eastAsia" w:ascii="仿宋_GB2312" w:hAnsi="仿宋_GB2312" w:eastAsia="仿宋_GB2312" w:cs="仿宋_GB2312"/>
          <w:sz w:val="32"/>
          <w:szCs w:val="32"/>
          <w:lang w:val="zh-CN"/>
        </w:rPr>
        <w:t>及证明文件等</w:t>
      </w:r>
    </w:p>
    <w:p>
      <w:pPr>
        <w:autoSpaceDE w:val="0"/>
        <w:autoSpaceDN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（四）报价文件递交</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1</w:t>
      </w:r>
      <w:r>
        <w:rPr>
          <w:rFonts w:hint="eastAsia" w:ascii="仿宋_GB2312" w:hAnsi="仿宋_GB2312" w:eastAsia="仿宋_GB2312" w:cs="仿宋_GB2312"/>
          <w:sz w:val="32"/>
          <w:szCs w:val="32"/>
          <w:lang w:val="zh-CN"/>
        </w:rPr>
        <w:t>、递交报价档</w:t>
      </w:r>
      <w:r>
        <w:rPr>
          <w:rFonts w:hint="eastAsia" w:ascii="仿宋_GB2312" w:hAnsi="仿宋_GB2312" w:eastAsia="仿宋_GB2312" w:cs="仿宋_GB2312"/>
          <w:sz w:val="32"/>
          <w:szCs w:val="32"/>
          <w:lang w:val="en-US" w:eastAsia="zh-CN"/>
        </w:rPr>
        <w:t>截止</w:t>
      </w:r>
      <w:r>
        <w:rPr>
          <w:rFonts w:hint="eastAsia" w:ascii="仿宋_GB2312" w:hAnsi="仿宋_GB2312" w:eastAsia="仿宋_GB2312" w:cs="仿宋_GB2312"/>
          <w:sz w:val="32"/>
          <w:szCs w:val="32"/>
          <w:lang w:val="zh-CN"/>
        </w:rPr>
        <w:t>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 xml:space="preserve"> 12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 xml:space="preserve"> 11 </w:t>
      </w:r>
      <w:r>
        <w:rPr>
          <w:rFonts w:hint="eastAsia" w:ascii="仿宋_GB2312" w:hAnsi="仿宋_GB2312" w:eastAsia="仿宋_GB2312" w:cs="仿宋_GB2312"/>
          <w:sz w:val="32"/>
          <w:szCs w:val="32"/>
          <w:lang w:val="zh-CN"/>
        </w:rPr>
        <w:t>日下午1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（北京时间）</w:t>
      </w:r>
      <w:r>
        <w:rPr>
          <w:rFonts w:hint="eastAsia" w:ascii="仿宋_GB2312" w:hAnsi="仿宋_GB2312" w:eastAsia="仿宋_GB2312" w:cs="仿宋_GB2312"/>
          <w:sz w:val="32"/>
          <w:szCs w:val="32"/>
        </w:rPr>
        <w:t>.</w:t>
      </w:r>
    </w:p>
    <w:p>
      <w:pPr>
        <w:shd w:val="clear" w:color="FDFAF5" w:fill="auto"/>
        <w:autoSpaceDN w:val="0"/>
        <w:spacing w:before="60" w:after="60" w:line="360" w:lineRule="auto"/>
        <w:ind w:left="61" w:leftChars="29" w:right="6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地点：</w:t>
      </w:r>
      <w:r>
        <w:rPr>
          <w:rFonts w:hint="eastAsia" w:ascii="仿宋_GB2312" w:hAnsi="仿宋_GB2312" w:eastAsia="仿宋_GB2312" w:cs="仿宋_GB2312"/>
          <w:sz w:val="32"/>
          <w:szCs w:val="32"/>
          <w:lang w:val="en-US" w:eastAsia="zh-CN"/>
        </w:rPr>
        <w:t xml:space="preserve">台州市椒江区海龙路1号公交TOD大厦8楼813室 </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报价档应于询价规定的截止时间之前密封送达（</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lang w:val="zh-CN"/>
        </w:rPr>
        <w:t>指定的地点。</w:t>
      </w:r>
      <w:r>
        <w:rPr>
          <w:rFonts w:hint="eastAsia" w:ascii="仿宋_GB2312" w:hAnsi="仿宋_GB2312" w:eastAsia="仿宋_GB2312" w:cs="仿宋_GB2312"/>
          <w:kern w:val="0"/>
          <w:sz w:val="32"/>
          <w:szCs w:val="32"/>
          <w:lang w:val="zh-CN"/>
        </w:rPr>
        <w:t>在询价采购档要求提交报价档的截止时间后送达（</w:t>
      </w:r>
      <w:r>
        <w:rPr>
          <w:rFonts w:hint="eastAsia" w:ascii="仿宋_GB2312" w:hAnsi="仿宋_GB2312" w:eastAsia="仿宋_GB2312" w:cs="仿宋_GB2312"/>
          <w:kern w:val="0"/>
          <w:sz w:val="32"/>
          <w:szCs w:val="32"/>
        </w:rPr>
        <w:t>寄到</w:t>
      </w:r>
      <w:r>
        <w:rPr>
          <w:rFonts w:hint="eastAsia" w:ascii="仿宋_GB2312" w:hAnsi="仿宋_GB2312" w:eastAsia="仿宋_GB2312" w:cs="仿宋_GB2312"/>
          <w:kern w:val="0"/>
          <w:sz w:val="32"/>
          <w:szCs w:val="32"/>
          <w:lang w:val="zh-CN"/>
        </w:rPr>
        <w:t>）的报价档将拒收。</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2</w:t>
      </w:r>
      <w:r>
        <w:rPr>
          <w:rFonts w:hint="eastAsia" w:ascii="仿宋_GB2312" w:hAnsi="仿宋_GB2312" w:eastAsia="仿宋_GB2312" w:cs="仿宋_GB2312"/>
          <w:sz w:val="32"/>
          <w:szCs w:val="32"/>
          <w:lang w:val="zh-CN"/>
        </w:rPr>
        <w:t>、报价档需提供正本一份且须单位法定代表人或其委托代理人签署。</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TW"/>
        </w:rPr>
        <w:t>3</w:t>
      </w:r>
      <w:r>
        <w:rPr>
          <w:rFonts w:hint="eastAsia" w:ascii="仿宋_GB2312" w:hAnsi="仿宋_GB2312" w:eastAsia="仿宋_GB2312" w:cs="仿宋_GB2312"/>
          <w:sz w:val="32"/>
          <w:szCs w:val="32"/>
          <w:lang w:val="zh-CN"/>
        </w:rPr>
        <w:t>、报价档应装入封袋，封面注明项目名称。</w:t>
      </w:r>
    </w:p>
    <w:p>
      <w:pPr>
        <w:autoSpaceDE w:val="0"/>
        <w:autoSpaceDN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（五）询价采购档的修改</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在规定的截止时间前，可以对询价采购档进行修改，并以书面材料告知各报名供应商，请供应商予以关注。</w:t>
      </w:r>
    </w:p>
    <w:p>
      <w:pPr>
        <w:autoSpaceDE w:val="0"/>
        <w:autoSpaceDN w:val="0"/>
        <w:adjustRightInd w:val="0"/>
        <w:spacing w:line="360" w:lineRule="auto"/>
        <w:ind w:firstLine="4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（六）报价档的补充、修改或者撤回</w:t>
      </w:r>
    </w:p>
    <w:p>
      <w:pPr>
        <w:autoSpaceDE w:val="0"/>
        <w:autoSpaceDN w:val="0"/>
        <w:adjustRightInd w:val="0"/>
        <w:spacing w:line="360" w:lineRule="auto"/>
        <w:ind w:firstLine="420"/>
        <w:rPr>
          <w:rFonts w:hint="eastAsia" w:ascii="仿宋_GB2312" w:hAnsi="仿宋_GB2312" w:eastAsia="仿宋_GB2312" w:cs="仿宋_GB2312"/>
          <w:kern w:val="0"/>
          <w:sz w:val="32"/>
          <w:szCs w:val="32"/>
          <w:lang w:val="zh-CN" w:eastAsia="zh-TW"/>
        </w:rPr>
      </w:pPr>
      <w:r>
        <w:rPr>
          <w:rFonts w:hint="eastAsia" w:ascii="仿宋_GB2312" w:hAnsi="仿宋_GB2312" w:eastAsia="仿宋_GB2312" w:cs="仿宋_GB2312"/>
          <w:sz w:val="32"/>
          <w:szCs w:val="32"/>
          <w:lang w:val="zh-CN"/>
        </w:rPr>
        <w:t>供应商在规定的截止时间前，可以对所递交的报价档进行补充、修改或者撤回，并书面通知</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lang w:val="zh-CN"/>
        </w:rPr>
        <w:t>。</w:t>
      </w:r>
      <w:r>
        <w:rPr>
          <w:rFonts w:hint="eastAsia" w:ascii="仿宋_GB2312" w:hAnsi="仿宋_GB2312" w:eastAsia="仿宋_GB2312" w:cs="仿宋_GB2312"/>
          <w:kern w:val="0"/>
          <w:sz w:val="32"/>
          <w:szCs w:val="32"/>
          <w:lang w:val="zh-CN"/>
        </w:rPr>
        <w:t>补充、修改的内容为报价档的组成部分。</w:t>
      </w:r>
    </w:p>
    <w:p>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七</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询价</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、询价供应商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参加询价的供应商代表应是单位法定代表人或其委托人。</w:t>
      </w:r>
    </w:p>
    <w:p>
      <w:pPr>
        <w:autoSpaceDE w:val="0"/>
        <w:autoSpaceDN w:val="0"/>
        <w:adjustRightInd w:val="0"/>
        <w:spacing w:line="360" w:lineRule="auto"/>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、实质性响应审查。依据询价采购文件的规定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从供应商递交报价文件的有效性、完整性和对询价档的响应程度进行审查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确定是否对询价档的实质性要求作出响应。</w:t>
      </w:r>
      <w:r>
        <w:rPr>
          <w:rFonts w:hint="eastAsia" w:ascii="仿宋_GB2312" w:hAnsi="仿宋_GB2312" w:eastAsia="仿宋_GB2312" w:cs="仿宋_GB2312"/>
          <w:b/>
          <w:color w:val="auto"/>
          <w:sz w:val="32"/>
          <w:szCs w:val="32"/>
          <w:lang w:val="zh-CN"/>
        </w:rPr>
        <w:t>（带“</w:t>
      </w:r>
      <w:r>
        <w:rPr>
          <w:rFonts w:hint="eastAsia" w:ascii="仿宋_GB2312" w:hAnsi="仿宋_GB2312" w:eastAsia="仿宋_GB2312" w:cs="仿宋_GB2312"/>
          <w:b/>
          <w:color w:val="auto"/>
          <w:sz w:val="32"/>
          <w:szCs w:val="32"/>
        </w:rPr>
        <w:t>▲”的条款是实质性条款，投标文件须作出实质性响应，否则作无效投标处理。</w:t>
      </w:r>
      <w:r>
        <w:rPr>
          <w:rFonts w:hint="eastAsia" w:ascii="仿宋_GB2312" w:hAnsi="仿宋_GB2312" w:eastAsia="仿宋_GB2312" w:cs="仿宋_GB2312"/>
          <w:b/>
          <w:color w:val="auto"/>
          <w:sz w:val="32"/>
          <w:szCs w:val="32"/>
          <w:lang w:val="zh-CN"/>
        </w:rPr>
        <w:t>）</w:t>
      </w:r>
    </w:p>
    <w:p>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、询价程序</w:t>
      </w:r>
      <w:r>
        <w:rPr>
          <w:rFonts w:hint="eastAsia" w:ascii="仿宋_GB2312" w:hAnsi="仿宋_GB2312" w:eastAsia="仿宋_GB2312" w:cs="仿宋_GB2312"/>
          <w:sz w:val="32"/>
          <w:szCs w:val="32"/>
        </w:rPr>
        <w:t>：</w:t>
      </w:r>
    </w:p>
    <w:p>
      <w:pPr>
        <w:keepNext w:val="0"/>
        <w:keepLines w:val="0"/>
        <w:pageBreakBefore w:val="0"/>
        <w:kinsoku/>
        <w:wordWrap/>
        <w:topLinePunct w:val="0"/>
        <w:autoSpaceDE w:val="0"/>
        <w:autoSpaceDN w:val="0"/>
        <w:bidi w:val="0"/>
        <w:adjustRightInd w:val="0"/>
        <w:snapToGrid/>
        <w:spacing w:line="360" w:lineRule="auto"/>
        <w:ind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Style w:val="8"/>
          <w:rFonts w:hint="eastAsia" w:ascii="仿宋_GB2312" w:hAnsi="仿宋_GB2312" w:eastAsia="仿宋_GB2312" w:cs="仿宋_GB2312"/>
          <w:color w:val="auto"/>
          <w:sz w:val="32"/>
          <w:szCs w:val="32"/>
        </w:rPr>
        <w:t>被询价的供应商在规定的时间内以书面形式一次报出不得更改的价格</w:t>
      </w:r>
      <w:r>
        <w:rPr>
          <w:rFonts w:hint="eastAsia" w:ascii="仿宋_GB2312" w:hAnsi="仿宋_GB2312" w:eastAsia="仿宋_GB2312" w:cs="仿宋_GB2312"/>
          <w:sz w:val="32"/>
          <w:szCs w:val="32"/>
        </w:rPr>
        <w:t>；</w:t>
      </w:r>
    </w:p>
    <w:p>
      <w:pPr>
        <w:pStyle w:val="5"/>
        <w:keepNext w:val="0"/>
        <w:keepLines w:val="0"/>
        <w:pageBreakBefore w:val="0"/>
        <w:kinsoku/>
        <w:wordWrap/>
        <w:topLinePunct w:val="0"/>
        <w:autoSpaceDE w:val="0"/>
        <w:autoSpaceDN w:val="0"/>
        <w:bidi w:val="0"/>
        <w:adjustRightInd w:val="0"/>
        <w:snapToGrid/>
        <w:spacing w:before="0" w:after="0" w:line="360" w:lineRule="auto"/>
        <w:ind w:firstLine="420" w:firstLineChars="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kern w:val="0"/>
          <w:sz w:val="32"/>
          <w:szCs w:val="32"/>
        </w:rPr>
        <w:t>询价结束后，</w:t>
      </w:r>
      <w:r>
        <w:rPr>
          <w:rStyle w:val="8"/>
          <w:rFonts w:hint="eastAsia" w:ascii="仿宋_GB2312" w:hAnsi="仿宋_GB2312" w:eastAsia="仿宋_GB2312" w:cs="仿宋_GB2312"/>
          <w:b w:val="0"/>
          <w:bCs/>
          <w:color w:val="auto"/>
          <w:sz w:val="32"/>
          <w:szCs w:val="32"/>
        </w:rPr>
        <w:t>根据符合采购需求、质量和服务相等且报价</w:t>
      </w:r>
      <w:r>
        <w:rPr>
          <w:rStyle w:val="8"/>
          <w:rFonts w:hint="eastAsia" w:ascii="仿宋_GB2312" w:hAnsi="仿宋_GB2312" w:eastAsia="仿宋_GB2312" w:cs="仿宋_GB2312"/>
          <w:b w:val="0"/>
          <w:bCs/>
          <w:color w:val="auto"/>
          <w:sz w:val="32"/>
          <w:szCs w:val="32"/>
          <w:lang w:val="en-US" w:eastAsia="zh-CN"/>
        </w:rPr>
        <w:t>由低到高</w:t>
      </w:r>
      <w:r>
        <w:rPr>
          <w:rStyle w:val="8"/>
          <w:rFonts w:hint="eastAsia" w:ascii="仿宋_GB2312" w:hAnsi="仿宋_GB2312" w:eastAsia="仿宋_GB2312" w:cs="仿宋_GB2312"/>
          <w:b w:val="0"/>
          <w:bCs/>
          <w:color w:val="auto"/>
          <w:sz w:val="32"/>
          <w:szCs w:val="32"/>
        </w:rPr>
        <w:t>的原则确定</w:t>
      </w:r>
      <w:r>
        <w:rPr>
          <w:rStyle w:val="8"/>
          <w:rFonts w:hint="eastAsia" w:ascii="仿宋_GB2312" w:hAnsi="仿宋_GB2312" w:eastAsia="仿宋_GB2312" w:cs="仿宋_GB2312"/>
          <w:b w:val="0"/>
          <w:bCs/>
          <w:color w:val="auto"/>
          <w:sz w:val="32"/>
          <w:szCs w:val="32"/>
          <w:lang w:val="en-US" w:eastAsia="zh-CN"/>
        </w:rPr>
        <w:t>报价最低的一家为入围</w:t>
      </w:r>
      <w:r>
        <w:rPr>
          <w:rStyle w:val="8"/>
          <w:rFonts w:hint="eastAsia" w:ascii="仿宋_GB2312" w:hAnsi="仿宋_GB2312" w:eastAsia="仿宋_GB2312" w:cs="仿宋_GB2312"/>
          <w:b w:val="0"/>
          <w:bCs/>
          <w:color w:val="auto"/>
          <w:sz w:val="32"/>
          <w:szCs w:val="32"/>
        </w:rPr>
        <w:t>供应商，并将结果通知所有被询价的未成交的供应商；</w:t>
      </w:r>
      <w:r>
        <w:rPr>
          <w:rFonts w:hint="eastAsia" w:ascii="仿宋_GB2312" w:hAnsi="仿宋_GB2312" w:eastAsia="仿宋_GB2312" w:cs="仿宋_GB2312"/>
          <w:b w:val="0"/>
          <w:bCs/>
          <w:sz w:val="32"/>
          <w:szCs w:val="32"/>
        </w:rPr>
        <w:t>采购价格按入围厂商中的最低价作为最终采购价。</w:t>
      </w:r>
    </w:p>
    <w:p>
      <w:pPr>
        <w:autoSpaceDE w:val="0"/>
        <w:autoSpaceDN w:val="0"/>
        <w:adjustRightIn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、询价的任何一方在未征得另一方同意的情况下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不得向第三方透露与谈判有关的一切技术数据、价格或其它信息。</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、询价开始后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递交报价档或符合项目资格条件的供应商不足三家时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将另行组织采购。</w:t>
      </w:r>
    </w:p>
    <w:p>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八</w:t>
      </w:r>
      <w:r>
        <w:rPr>
          <w:rFonts w:hint="eastAsia" w:ascii="仿宋_GB2312" w:hAnsi="仿宋_GB2312" w:eastAsia="仿宋_GB2312" w:cs="仿宋_GB2312"/>
          <w:b/>
          <w:sz w:val="32"/>
          <w:szCs w:val="32"/>
        </w:rPr>
        <w:t>）付款方式</w:t>
      </w:r>
    </w:p>
    <w:p>
      <w:pPr>
        <w:autoSpaceDE w:val="0"/>
        <w:autoSpaceDN w:val="0"/>
        <w:adjustRightInd w:val="0"/>
        <w:spacing w:line="360" w:lineRule="auto"/>
        <w:ind w:firstLine="4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无预付款，乙方</w:t>
      </w:r>
      <w:r>
        <w:rPr>
          <w:rFonts w:hint="eastAsia" w:ascii="仿宋_GB2312" w:hAnsi="仿宋_GB2312" w:eastAsia="仿宋_GB2312" w:cs="仿宋_GB2312"/>
          <w:kern w:val="2"/>
          <w:sz w:val="32"/>
          <w:szCs w:val="32"/>
          <w:lang w:val="en-US" w:eastAsia="zh-CN" w:bidi="ar-SA"/>
        </w:rPr>
        <w:t>软件交付且验收合格后，</w:t>
      </w:r>
      <w:r>
        <w:rPr>
          <w:rFonts w:hint="eastAsia" w:ascii="仿宋_GB2312" w:hAnsi="仿宋_GB2312" w:eastAsia="仿宋_GB2312" w:cs="仿宋_GB2312"/>
          <w:sz w:val="32"/>
          <w:szCs w:val="32"/>
          <w:lang w:val="zh-CN"/>
        </w:rPr>
        <w:t>甲方</w:t>
      </w:r>
      <w:r>
        <w:rPr>
          <w:rFonts w:hint="eastAsia" w:ascii="仿宋_GB2312" w:hAnsi="仿宋_GB2312" w:eastAsia="仿宋_GB2312" w:cs="仿宋_GB2312"/>
          <w:sz w:val="32"/>
          <w:szCs w:val="32"/>
          <w:lang w:val="en-US" w:eastAsia="zh-CN"/>
        </w:rPr>
        <w:t>在30个工作日</w:t>
      </w:r>
      <w:r>
        <w:rPr>
          <w:rFonts w:hint="eastAsia" w:ascii="仿宋_GB2312" w:hAnsi="仿宋_GB2312" w:eastAsia="仿宋_GB2312" w:cs="仿宋_GB2312"/>
          <w:sz w:val="32"/>
          <w:szCs w:val="32"/>
          <w:lang w:val="zh-CN"/>
        </w:rPr>
        <w:t>内向乙方</w:t>
      </w:r>
      <w:r>
        <w:rPr>
          <w:rFonts w:hint="eastAsia" w:ascii="仿宋_GB2312" w:hAnsi="仿宋_GB2312" w:eastAsia="仿宋_GB2312" w:cs="仿宋_GB2312"/>
          <w:sz w:val="32"/>
          <w:szCs w:val="32"/>
          <w:lang w:val="en-US" w:eastAsia="zh-CN"/>
        </w:rPr>
        <w:t>全款支</w:t>
      </w:r>
      <w:r>
        <w:rPr>
          <w:rFonts w:hint="eastAsia" w:ascii="仿宋_GB2312" w:hAnsi="仿宋_GB2312" w:eastAsia="仿宋_GB2312" w:cs="仿宋_GB2312"/>
          <w:sz w:val="32"/>
          <w:szCs w:val="32"/>
          <w:lang w:val="zh-CN"/>
        </w:rPr>
        <w:t>付</w:t>
      </w:r>
      <w:r>
        <w:rPr>
          <w:rFonts w:hint="eastAsia" w:ascii="仿宋_GB2312" w:hAnsi="仿宋_GB2312" w:eastAsia="仿宋_GB2312" w:cs="仿宋_GB2312"/>
          <w:kern w:val="2"/>
          <w:sz w:val="32"/>
          <w:szCs w:val="32"/>
          <w:lang w:val="en-US" w:eastAsia="zh-CN" w:bidi="ar-SA"/>
        </w:rPr>
        <w:t>合同总价</w:t>
      </w:r>
      <w:r>
        <w:rPr>
          <w:rFonts w:hint="eastAsia" w:ascii="仿宋_GB2312" w:hAnsi="仿宋_GB2312" w:eastAsia="仿宋_GB2312" w:cs="仿宋_GB2312"/>
          <w:sz w:val="32"/>
          <w:szCs w:val="32"/>
          <w:lang w:val="zh-CN"/>
        </w:rPr>
        <w:t>，甲方付款前乙方应提供相应增值税专用发票。</w:t>
      </w:r>
    </w:p>
    <w:p>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九</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签订合同</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1、采购人应当自中标通知书发出之日起10个工作日内，按照</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文件和中标人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文件的规定，与中标人签订书面合同。所签订的合同不得对</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文件确定的事项和中标人</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文件作实质性修改。</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2、采购人不得向中标人提出任何不合理的要求作为签订合同的条件。</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3、中标供应商无故拖延、拒签合同的,取消中标资格。</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4、中标供应商拒绝与采购人签订合同的，采购人可以按照评审报告推荐的中标候选人名单排序，确定下一候选人为中标供应商，也可以重新开展采购活动。同时，拒绝与采购人签订合同的供应商。</w:t>
      </w:r>
    </w:p>
    <w:p>
      <w:pPr>
        <w:autoSpaceDE w:val="0"/>
        <w:autoSpaceDN w:val="0"/>
        <w:adjustRightInd w:val="0"/>
        <w:spacing w:line="360" w:lineRule="auto"/>
        <w:ind w:firstLine="42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十</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zh-CN"/>
        </w:rPr>
        <w:t>质疑和投诉</w:t>
      </w:r>
    </w:p>
    <w:p>
      <w:pPr>
        <w:autoSpaceDE w:val="0"/>
        <w:autoSpaceDN w:val="0"/>
        <w:adjustRightInd w:val="0"/>
        <w:spacing w:line="360" w:lineRule="auto"/>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、供应商认为询价采购档、询价过程和成交结果使自己的合法权益受到损害的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可以在知道或者应知其权益受到损害之日起</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以书面形式向采购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提出质疑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但需对质疑内容的真实性承担责任。</w:t>
      </w:r>
    </w:p>
    <w:p>
      <w:pPr>
        <w:autoSpaceDE w:val="0"/>
        <w:autoSpaceDN w:val="0"/>
        <w:adjustRightInd w:val="0"/>
        <w:spacing w:line="360" w:lineRule="auto"/>
        <w:ind w:firstLine="4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、采购</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zh-CN"/>
        </w:rPr>
        <w:t>在收到供应商的书面质疑后</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个工作日内作出答复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并以书面形式通知质疑供应商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但答复的内容不涉及商业秘密。</w:t>
      </w:r>
    </w:p>
    <w:p>
      <w:pPr>
        <w:autoSpaceDE w:val="0"/>
        <w:autoSpaceDN w:val="0"/>
        <w:adjustRightInd w:val="0"/>
        <w:spacing w:line="360" w:lineRule="auto"/>
        <w:jc w:val="left"/>
        <w:rPr>
          <w:rFonts w:hint="eastAsia" w:ascii="仿宋" w:hAnsi="仿宋" w:eastAsia="仿宋" w:cs="仿宋"/>
          <w:b/>
          <w:sz w:val="24"/>
        </w:rPr>
      </w:pPr>
    </w:p>
    <w:p>
      <w:pPr>
        <w:pStyle w:val="9"/>
        <w:rPr>
          <w:rFonts w:hint="eastAsia" w:ascii="仿宋" w:hAnsi="仿宋" w:eastAsia="仿宋" w:cs="仿宋"/>
          <w:b/>
          <w:sz w:val="24"/>
        </w:rPr>
      </w:pPr>
    </w:p>
    <w:p>
      <w:pPr>
        <w:pStyle w:val="9"/>
        <w:rPr>
          <w:rFonts w:hint="eastAsia" w:ascii="仿宋" w:hAnsi="仿宋" w:eastAsia="仿宋" w:cs="仿宋"/>
          <w:b/>
          <w:sz w:val="24"/>
        </w:rPr>
      </w:pPr>
    </w:p>
    <w:p>
      <w:pPr>
        <w:pStyle w:val="9"/>
        <w:rPr>
          <w:rFonts w:hint="eastAsia" w:ascii="仿宋" w:hAnsi="仿宋" w:eastAsia="仿宋" w:cs="仿宋"/>
          <w:b/>
          <w:sz w:val="24"/>
        </w:rPr>
      </w:pPr>
    </w:p>
    <w:p>
      <w:pPr>
        <w:pStyle w:val="9"/>
        <w:rPr>
          <w:rFonts w:hint="eastAsia" w:ascii="仿宋" w:hAnsi="仿宋" w:eastAsia="仿宋" w:cs="仿宋"/>
          <w:b/>
          <w:sz w:val="24"/>
        </w:rPr>
      </w:pPr>
    </w:p>
    <w:p>
      <w:pPr>
        <w:pStyle w:val="9"/>
        <w:rPr>
          <w:rFonts w:hint="eastAsia" w:ascii="仿宋" w:hAnsi="仿宋" w:eastAsia="仿宋" w:cs="仿宋"/>
          <w:b/>
          <w:sz w:val="24"/>
        </w:rPr>
      </w:pPr>
    </w:p>
    <w:p>
      <w:pPr>
        <w:pStyle w:val="9"/>
        <w:rPr>
          <w:rFonts w:hint="eastAsia" w:ascii="仿宋" w:hAnsi="仿宋" w:eastAsia="仿宋" w:cs="仿宋"/>
          <w:b/>
          <w:sz w:val="24"/>
        </w:rPr>
      </w:pPr>
    </w:p>
    <w:p>
      <w:pPr>
        <w:pStyle w:val="9"/>
        <w:rPr>
          <w:rFonts w:hint="eastAsia" w:ascii="仿宋" w:hAnsi="仿宋" w:eastAsia="仿宋" w:cs="仿宋"/>
          <w:b/>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753B0"/>
    <w:rsid w:val="632717A7"/>
    <w:rsid w:val="74A7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480" w:lineRule="auto"/>
      <w:jc w:val="center"/>
    </w:pPr>
    <w:rPr>
      <w:rFonts w:ascii="宋体"/>
      <w:b/>
      <w:sz w:val="72"/>
      <w:szCs w:val="20"/>
    </w:rPr>
  </w:style>
  <w:style w:type="paragraph" w:styleId="3">
    <w:name w:val="Body Text First Indent"/>
    <w:basedOn w:val="2"/>
    <w:next w:val="4"/>
    <w:qFormat/>
    <w:uiPriority w:val="0"/>
    <w:pPr>
      <w:ind w:firstLine="420" w:firstLineChars="100"/>
    </w:pPr>
    <w:rPr>
      <w:sz w:val="21"/>
    </w:rPr>
  </w:style>
  <w:style w:type="paragraph" w:styleId="4">
    <w:name w:val="toc 6"/>
    <w:basedOn w:val="1"/>
    <w:next w:val="1"/>
    <w:qFormat/>
    <w:uiPriority w:val="0"/>
    <w:pPr>
      <w:widowControl/>
      <w:ind w:left="1000"/>
      <w:jc w:val="left"/>
    </w:pPr>
    <w:rPr>
      <w:kern w:val="0"/>
      <w:sz w:val="18"/>
      <w:szCs w:val="20"/>
    </w:rPr>
  </w:style>
  <w:style w:type="paragraph" w:styleId="5">
    <w:name w:val="Title"/>
    <w:basedOn w:val="1"/>
    <w:next w:val="1"/>
    <w:qFormat/>
    <w:uiPriority w:val="99"/>
    <w:pPr>
      <w:widowControl/>
      <w:overflowPunct w:val="0"/>
      <w:autoSpaceDE w:val="0"/>
      <w:autoSpaceDN w:val="0"/>
      <w:adjustRightInd w:val="0"/>
      <w:ind w:firstLine="880" w:firstLineChars="200"/>
      <w:jc w:val="center"/>
      <w:textAlignment w:val="baseline"/>
    </w:pPr>
    <w:rPr>
      <w:b/>
      <w:kern w:val="0"/>
      <w:sz w:val="24"/>
      <w:szCs w:val="20"/>
    </w:rPr>
  </w:style>
  <w:style w:type="character" w:customStyle="1" w:styleId="8">
    <w:name w:val="articleitemtext1"/>
    <w:qFormat/>
    <w:uiPriority w:val="0"/>
    <w:rPr>
      <w:color w:val="000000"/>
      <w:sz w:val="18"/>
      <w:szCs w:val="18"/>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2025-12-08T09:02:00Z</dcterms:created>
  <dc:creator>TZGJ</dc:creator>
  <cp:lastModifiedBy>TZGJ</cp:lastModifiedBy>
  <dcterms:modified xsi:type="dcterms:W3CDTF">2025-12-08T09:03:26Z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646CA467CCDC43ADB666389982FE6BC2</vt:lpwstr>
  </property>
</Properties>
</file>